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/>
          <w:b/>
          <w:bCs/>
          <w:sz w:val="28"/>
          <w:szCs w:val="24"/>
        </w:rPr>
      </w:pPr>
      <w:r>
        <w:rPr>
          <w:rFonts w:hint="eastAsia"/>
          <w:szCs w:val="24"/>
        </w:rPr>
        <w:t xml:space="preserve">表三、                                     </w:t>
      </w:r>
      <w:r>
        <w:rPr>
          <w:rFonts w:hint="eastAsia"/>
          <w:b/>
          <w:bCs/>
          <w:sz w:val="28"/>
          <w:szCs w:val="24"/>
        </w:rPr>
        <w:t xml:space="preserve"> </w:t>
      </w:r>
    </w:p>
    <w:p>
      <w:pPr>
        <w:spacing w:line="0" w:lineRule="atLeast"/>
        <w:jc w:val="center"/>
        <w:rPr>
          <w:rFonts w:hint="eastAsia"/>
          <w:szCs w:val="24"/>
        </w:rPr>
      </w:pPr>
      <w:r>
        <w:rPr>
          <w:rFonts w:hint="eastAsia"/>
          <w:b/>
          <w:bCs/>
          <w:sz w:val="28"/>
          <w:szCs w:val="24"/>
        </w:rPr>
        <w:t>第二课堂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05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模块类别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属性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学分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思想政治素养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必修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社会责任担当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实践实习能力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创业创新能力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文体素质拓展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任选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2-6</w:t>
            </w: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菁英成长履历</w:t>
            </w:r>
          </w:p>
        </w:tc>
        <w:tc>
          <w:tcPr>
            <w:tcW w:w="1056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技能培训认定</w:t>
            </w:r>
          </w:p>
        </w:tc>
        <w:tc>
          <w:tcPr>
            <w:tcW w:w="1056" w:type="dxa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63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szCs w:val="24"/>
              </w:rPr>
            </w:pPr>
          </w:p>
        </w:tc>
      </w:tr>
    </w:tbl>
    <w:p>
      <w:pPr>
        <w:spacing w:line="0" w:lineRule="atLeast"/>
        <w:ind w:firstLine="420" w:firstLineChars="2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第二课堂设置6-10学分，6学分为合格线。1-4模块为必选模块，必修学分不得低于4学分，思想政治素养学分不得低于1学分；5-7模块为任选模块，任选学分不得低于2学分。其具体内容详见“第二课堂成绩单”学分认定细则（暂行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0301"/>
    <w:rsid w:val="74B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2020-11-20T03:34:00Z</dcterms:created>
  <dc:creator>Administrator</dc:creator>
  <cp:lastModifiedBy>Administrator</cp:lastModifiedBy>
  <dcterms:modified xsi:type="dcterms:W3CDTF">2020-11-20T03:35:28Z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